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07B207">
      <w:pPr>
        <w:pStyle w:val="36"/>
        <w:tabs>
          <w:tab w:val="right" w:pos="9638"/>
        </w:tabs>
        <w:rPr>
          <w:rFonts w:hint="default" w:eastAsia="宋体" w:cs="Arial"/>
          <w:bCs/>
          <w:sz w:val="24"/>
          <w:lang w:val="en-US" w:eastAsia="zh-CN"/>
        </w:rPr>
      </w:pPr>
      <w:bookmarkStart w:id="0" w:name="_Hlt450039480"/>
      <w:bookmarkEnd w:id="0"/>
      <w:bookmarkStart w:id="1" w:name="_Hlt449016246"/>
      <w:bookmarkEnd w:id="1"/>
      <w:bookmarkStart w:id="2" w:name="_Hlt450051172"/>
      <w:bookmarkEnd w:id="2"/>
      <w:bookmarkStart w:id="3" w:name="_Hlt450066087"/>
      <w:bookmarkEnd w:id="3"/>
      <w:bookmarkStart w:id="4" w:name="_Hlt450066085"/>
      <w:bookmarkEnd w:id="4"/>
      <w:bookmarkStart w:id="5" w:name="_Hlt448930105"/>
      <w:bookmarkEnd w:id="5"/>
      <w:r>
        <w:rPr>
          <w:rFonts w:cs="Arial"/>
          <w:bCs/>
          <w:sz w:val="24"/>
        </w:rPr>
        <w:t>TSG RAN Meeting #10</w:t>
      </w:r>
      <w:r>
        <w:rPr>
          <w:rFonts w:hint="eastAsia" w:eastAsia="宋体" w:cs="Arial"/>
          <w:bCs/>
          <w:sz w:val="24"/>
          <w:lang w:val="en-US" w:eastAsia="zh-CN"/>
        </w:rPr>
        <w:t>9</w:t>
      </w:r>
      <w:r>
        <w:rPr>
          <w:rFonts w:cs="Arial"/>
          <w:bCs/>
          <w:sz w:val="24"/>
        </w:rPr>
        <w:tab/>
      </w:r>
      <w:r>
        <w:rPr>
          <w:rFonts w:hint="eastAsia" w:cs="Arial"/>
          <w:bCs/>
          <w:sz w:val="24"/>
        </w:rPr>
        <w:t>RP-252579</w:t>
      </w:r>
    </w:p>
    <w:p w14:paraId="524591CE">
      <w:pPr>
        <w:pStyle w:val="36"/>
        <w:tabs>
          <w:tab w:val="right" w:pos="9638"/>
        </w:tabs>
        <w:rPr>
          <w:rFonts w:cs="Arial"/>
          <w:bCs/>
          <w:sz w:val="24"/>
        </w:rPr>
      </w:pPr>
      <w:r>
        <w:rPr>
          <w:rFonts w:hint="eastAsia" w:eastAsia="宋体" w:cs="Arial"/>
          <w:bCs/>
          <w:sz w:val="24"/>
          <w:lang w:val="en-US" w:eastAsia="zh-CN"/>
        </w:rPr>
        <w:t>Beijing</w:t>
      </w:r>
      <w:r>
        <w:rPr>
          <w:rFonts w:cs="Arial"/>
          <w:bCs/>
          <w:sz w:val="24"/>
        </w:rPr>
        <w:t xml:space="preserve">, </w:t>
      </w:r>
      <w:r>
        <w:rPr>
          <w:rFonts w:hint="eastAsia" w:eastAsia="宋体" w:cs="Arial"/>
          <w:bCs/>
          <w:sz w:val="24"/>
          <w:lang w:val="en-US" w:eastAsia="zh-CN"/>
        </w:rPr>
        <w:t>China, Sep</w:t>
      </w:r>
      <w:r>
        <w:rPr>
          <w:rFonts w:cs="Arial"/>
          <w:bCs/>
          <w:sz w:val="24"/>
        </w:rPr>
        <w:t xml:space="preserve"> </w:t>
      </w:r>
      <w:r>
        <w:rPr>
          <w:rFonts w:hint="eastAsia" w:eastAsia="宋体" w:cs="Arial"/>
          <w:bCs/>
          <w:sz w:val="24"/>
          <w:lang w:val="en-US" w:eastAsia="zh-CN"/>
        </w:rPr>
        <w:t>15</w:t>
      </w:r>
      <w:r>
        <w:rPr>
          <w:rFonts w:cs="Arial"/>
          <w:bCs/>
          <w:sz w:val="24"/>
        </w:rPr>
        <w:t xml:space="preserve">- </w:t>
      </w:r>
      <w:r>
        <w:rPr>
          <w:rFonts w:hint="eastAsia" w:eastAsia="宋体" w:cs="Arial"/>
          <w:bCs/>
          <w:sz w:val="24"/>
          <w:lang w:val="en-US" w:eastAsia="zh-CN"/>
        </w:rPr>
        <w:t>18,</w:t>
      </w:r>
      <w:r>
        <w:rPr>
          <w:rFonts w:cs="Arial"/>
          <w:bCs/>
          <w:sz w:val="24"/>
        </w:rPr>
        <w:t xml:space="preserve"> 202</w:t>
      </w:r>
      <w:r>
        <w:rPr>
          <w:rFonts w:hint="eastAsia" w:eastAsia="宋体" w:cs="Arial"/>
          <w:bCs/>
          <w:sz w:val="24"/>
          <w:lang w:val="en-US" w:eastAsia="zh-CN"/>
        </w:rPr>
        <w:t>5</w:t>
      </w:r>
      <w:r>
        <w:rPr>
          <w:rFonts w:cs="Arial"/>
          <w:bCs/>
          <w:sz w:val="24"/>
        </w:rPr>
        <w:t xml:space="preserve"> </w:t>
      </w:r>
    </w:p>
    <w:p w14:paraId="51F76ED1">
      <w:pPr>
        <w:pStyle w:val="36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4BD6438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ZTE Corporation</w:t>
      </w:r>
    </w:p>
    <w:p w14:paraId="75EA06FB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Work Item Exception for NR base station (BS) RF requirement evolution for FR1/FR2 and testing</w:t>
      </w:r>
      <w:bookmarkStart w:id="8" w:name="_GoBack"/>
      <w:bookmarkEnd w:id="8"/>
    </w:p>
    <w:p w14:paraId="336698B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1FD8EF5">
      <w:pPr>
        <w:keepNext/>
        <w:pBdr>
          <w:bottom w:val="single" w:color="auto" w:sz="4" w:space="1"/>
        </w:pBdr>
        <w:tabs>
          <w:tab w:val="left" w:pos="1985"/>
        </w:tabs>
        <w:ind w:left="2126" w:hanging="2126"/>
        <w:rPr>
          <w:rFonts w:ascii="Arial" w:hAnsi="Arial"/>
          <w:b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hint="eastAsia" w:ascii="Arial" w:hAnsi="Arial" w:cs="Arial"/>
          <w:b/>
        </w:rPr>
        <w:t>9.6.4.2</w:t>
      </w:r>
    </w:p>
    <w:p w14:paraId="61FB782D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 w14:paraId="182AFFC5">
      <w:pPr>
        <w:pStyle w:val="2"/>
        <w:tabs>
          <w:tab w:val="left" w:pos="2268"/>
          <w:tab w:val="left" w:pos="3686"/>
        </w:tabs>
        <w:ind w:right="-99"/>
        <w:rPr>
          <w:sz w:val="24"/>
          <w:szCs w:val="24"/>
        </w:rPr>
      </w:pPr>
      <w:r>
        <w:rPr>
          <w:sz w:val="24"/>
          <w:szCs w:val="24"/>
        </w:rPr>
        <w:t xml:space="preserve">Title :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rFonts w:ascii="Arial" w:hAnsi="Arial" w:eastAsia="Yu Mincho" w:cs="Times New Roman"/>
          <w:sz w:val="24"/>
          <w:szCs w:val="24"/>
          <w:lang w:val="en-GB" w:eastAsia="en-GB" w:bidi="ar-SA"/>
        </w:rPr>
        <w:t>NR base station (BS) RF requirement evolution for FR1/FR2 and testing</w:t>
      </w:r>
    </w:p>
    <w:p w14:paraId="24ED1936"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 xml:space="preserve">Acronym  : </w:t>
      </w:r>
      <w:r>
        <w:rPr>
          <w:sz w:val="24"/>
          <w:szCs w:val="24"/>
        </w:rPr>
        <w:tab/>
      </w:r>
      <w:bookmarkStart w:id="6" w:name="OLE_LINK215"/>
      <w:bookmarkStart w:id="7" w:name="OLE_LINK214"/>
      <w:r>
        <w:rPr>
          <w:rFonts w:ascii="Arial" w:hAnsi="Arial" w:eastAsia="Yu Mincho" w:cs="Times New Roman"/>
          <w:sz w:val="24"/>
          <w:szCs w:val="24"/>
          <w:lang w:val="en-GB" w:eastAsia="en-GB" w:bidi="ar-SA"/>
        </w:rPr>
        <w:t>NR_BS_RF_req_evo</w:t>
      </w:r>
      <w:bookmarkEnd w:id="6"/>
      <w:bookmarkEnd w:id="7"/>
    </w:p>
    <w:p w14:paraId="5AC7411E">
      <w:pPr>
        <w:pStyle w:val="3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Identifier :</w:t>
      </w:r>
      <w:r>
        <w:rPr>
          <w:sz w:val="24"/>
          <w:szCs w:val="24"/>
        </w:rPr>
        <w:tab/>
      </w:r>
      <w:r>
        <w:rPr>
          <w:rFonts w:ascii="Arial" w:hAnsi="Arial" w:eastAsia="Yu Mincho" w:cs="Times New Roman"/>
          <w:sz w:val="24"/>
          <w:szCs w:val="24"/>
          <w:lang w:val="en-GB" w:eastAsia="en-GB" w:bidi="ar-SA"/>
        </w:rPr>
        <w:t>10300</w:t>
      </w:r>
      <w:r>
        <w:rPr>
          <w:rFonts w:hint="eastAsia" w:ascii="Arial" w:hAnsi="Arial" w:eastAsia="Yu Mincho" w:cs="Times New Roman"/>
          <w:sz w:val="24"/>
          <w:szCs w:val="24"/>
          <w:lang w:val="en-US" w:eastAsia="zh-CN" w:bidi="ar-SA"/>
        </w:rPr>
        <w:t>78</w:t>
      </w:r>
    </w:p>
    <w:p w14:paraId="574813BF"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hint="eastAsia" w:eastAsia="宋体"/>
          <w:b/>
          <w:sz w:val="32"/>
          <w:szCs w:val="32"/>
          <w:lang w:val="en-US" w:eastAsia="zh-CN"/>
        </w:rPr>
        <w:t>19</w:t>
      </w:r>
      <w:r>
        <w:rPr>
          <w:b/>
          <w:sz w:val="32"/>
          <w:szCs w:val="32"/>
        </w:rPr>
        <w:t xml:space="preserve"> Submission form</w:t>
      </w:r>
    </w:p>
    <w:tbl>
      <w:tblPr>
        <w:tblStyle w:val="44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5"/>
        <w:gridCol w:w="1282"/>
        <w:gridCol w:w="848"/>
        <w:gridCol w:w="1277"/>
        <w:gridCol w:w="1275"/>
        <w:gridCol w:w="1523"/>
      </w:tblGrid>
      <w:tr w14:paraId="24167D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63AD6E20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D5E490F">
            <w:pPr>
              <w:spacing w:after="0"/>
              <w:rPr>
                <w:b/>
                <w:lang w:eastAsia="zh-CN"/>
              </w:rPr>
            </w:pPr>
          </w:p>
        </w:tc>
      </w:tr>
      <w:tr w14:paraId="0BB23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6822DD13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282" w:type="dxa"/>
            <w:shd w:val="clear" w:color="auto" w:fill="FFFF99"/>
            <w:vAlign w:val="center"/>
          </w:tcPr>
          <w:p w14:paraId="47BBE4A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42ACCC44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ja-JP"/>
              </w:rPr>
              <w:t>n</w:t>
            </w:r>
            <w:r>
              <w:rPr>
                <w:b/>
                <w:sz w:val="24"/>
                <w:szCs w:val="24"/>
                <w:lang w:eastAsia="ja-JP"/>
              </w:rPr>
              <w:t>o</w:t>
            </w:r>
          </w:p>
        </w:tc>
        <w:tc>
          <w:tcPr>
            <w:tcW w:w="848" w:type="dxa"/>
            <w:shd w:val="clear" w:color="auto" w:fill="FFFF99"/>
            <w:vAlign w:val="center"/>
          </w:tcPr>
          <w:p w14:paraId="2035B00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 w14:paraId="02A751CE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ja-JP"/>
              </w:rPr>
              <w:t>n</w:t>
            </w:r>
            <w:r>
              <w:rPr>
                <w:b/>
                <w:sz w:val="24"/>
                <w:szCs w:val="24"/>
                <w:lang w:eastAsia="ja-JP"/>
              </w:rPr>
              <w:t>o</w:t>
            </w:r>
          </w:p>
        </w:tc>
        <w:tc>
          <w:tcPr>
            <w:tcW w:w="1277" w:type="dxa"/>
            <w:shd w:val="clear" w:color="auto" w:fill="FFFF99"/>
            <w:vAlign w:val="center"/>
          </w:tcPr>
          <w:p w14:paraId="66B1BBF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 w14:paraId="14F585F3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ja-JP"/>
              </w:rPr>
              <w:t>y</w:t>
            </w:r>
            <w:r>
              <w:rPr>
                <w:b/>
                <w:sz w:val="24"/>
                <w:szCs w:val="24"/>
                <w:lang w:eastAsia="ja-JP"/>
              </w:rPr>
              <w:t>es</w:t>
            </w:r>
          </w:p>
        </w:tc>
        <w:tc>
          <w:tcPr>
            <w:tcW w:w="1275" w:type="dxa"/>
            <w:shd w:val="clear" w:color="auto" w:fill="FFFF99"/>
            <w:vAlign w:val="center"/>
          </w:tcPr>
          <w:p w14:paraId="1B9DE2E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 w14:paraId="0033EF2F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ja-JP"/>
              </w:rPr>
              <w:t>n</w:t>
            </w:r>
            <w:r>
              <w:rPr>
                <w:b/>
                <w:sz w:val="24"/>
                <w:szCs w:val="24"/>
                <w:lang w:eastAsia="ja-JP"/>
              </w:rPr>
              <w:t>o</w:t>
            </w:r>
          </w:p>
        </w:tc>
        <w:tc>
          <w:tcPr>
            <w:tcW w:w="1523" w:type="dxa"/>
            <w:shd w:val="clear" w:color="auto" w:fill="FFFF99"/>
            <w:vAlign w:val="center"/>
          </w:tcPr>
          <w:p w14:paraId="5C292B89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2C324B7A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ja-JP"/>
              </w:rPr>
              <w:t>n</w:t>
            </w:r>
            <w:r>
              <w:rPr>
                <w:b/>
                <w:sz w:val="24"/>
                <w:szCs w:val="24"/>
                <w:lang w:eastAsia="ja-JP"/>
              </w:rPr>
              <w:t>o</w:t>
            </w:r>
          </w:p>
        </w:tc>
      </w:tr>
      <w:tr w14:paraId="4A9FDB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123036C3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6205" w:type="dxa"/>
            <w:gridSpan w:val="5"/>
            <w:shd w:val="clear" w:color="auto" w:fill="FFFF99"/>
            <w:vAlign w:val="center"/>
          </w:tcPr>
          <w:p w14:paraId="70EA101E">
            <w:pPr>
              <w:spacing w:after="0"/>
            </w:pPr>
            <w:r>
              <w:t>3GPP RAN#1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t xml:space="preserve"> (</w:t>
            </w:r>
            <w:r>
              <w:rPr>
                <w:rFonts w:hint="eastAsia" w:eastAsia="宋体"/>
                <w:lang w:val="en-US" w:eastAsia="zh-CN"/>
              </w:rPr>
              <w:t>Dec</w:t>
            </w:r>
            <w:r>
              <w:t xml:space="preserve"> 202</w:t>
            </w:r>
            <w:r>
              <w:rPr>
                <w:rFonts w:hint="eastAsia" w:eastAsia="宋体"/>
                <w:lang w:val="en-US" w:eastAsia="zh-CN"/>
              </w:rPr>
              <w:t>5</w:t>
            </w:r>
            <w:r>
              <w:t>)</w:t>
            </w:r>
          </w:p>
        </w:tc>
      </w:tr>
      <w:tr w14:paraId="4D4B9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4BFFFEB9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6205" w:type="dxa"/>
            <w:gridSpan w:val="5"/>
            <w:shd w:val="clear" w:color="auto" w:fill="FFFF99"/>
            <w:vAlign w:val="center"/>
          </w:tcPr>
          <w:p w14:paraId="2D4A9E57">
            <w:pPr>
              <w:pStyle w:val="41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14:paraId="4F226C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724FB4FF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6205" w:type="dxa"/>
            <w:gridSpan w:val="5"/>
            <w:shd w:val="clear" w:color="auto" w:fill="FFFF99"/>
            <w:vAlign w:val="center"/>
          </w:tcPr>
          <w:p w14:paraId="36486F7D">
            <w:pPr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8.10</w:t>
            </w:r>
            <w:r>
              <w:rPr>
                <w:rFonts w:hint="eastAsia" w:eastAsia="宋体"/>
                <w:lang w:val="en-US" w:eastAsia="zh-CN"/>
              </w:rPr>
              <w:t>4, 38.141-1, 38.141-2, 38.106, 38.115-1, 38.174, 38.176-1, 38.176-2, 37.105, 37.145-1, 37.145-2, 37.104, 37.141, 36.104, 36.141</w:t>
            </w:r>
          </w:p>
        </w:tc>
      </w:tr>
      <w:tr w14:paraId="32B9EB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335B7CD6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6205" w:type="dxa"/>
            <w:gridSpan w:val="5"/>
            <w:shd w:val="clear" w:color="auto" w:fill="FFFF99"/>
            <w:vAlign w:val="center"/>
          </w:tcPr>
          <w:p w14:paraId="3CC8DBA7">
            <w:pPr>
              <w:pStyle w:val="41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Following core requirements are not completed in this WI.</w:t>
            </w:r>
          </w:p>
          <w:p w14:paraId="48937C26">
            <w:pPr>
              <w:pStyle w:val="41"/>
              <w:numPr>
                <w:ilvl w:val="0"/>
                <w:numId w:val="1"/>
              </w:numPr>
              <w:ind w:left="420" w:leftChars="0" w:hanging="420" w:firstLineChars="0"/>
              <w:rPr>
                <w:bCs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Transmitter co-existence spurious emission requirements</w:t>
            </w:r>
          </w:p>
        </w:tc>
      </w:tr>
      <w:tr w14:paraId="4DAAA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14:paraId="7CDCE5D7">
            <w:pPr>
              <w:spacing w:after="0"/>
              <w:rPr>
                <w:b/>
              </w:rPr>
            </w:pPr>
            <w:r>
              <w:rPr>
                <w:b/>
              </w:rPr>
              <w:t>Consequences if not included in Release ZZ:</w:t>
            </w:r>
          </w:p>
        </w:tc>
        <w:tc>
          <w:tcPr>
            <w:tcW w:w="6205" w:type="dxa"/>
            <w:gridSpan w:val="5"/>
            <w:shd w:val="clear" w:color="auto" w:fill="FFFF99"/>
            <w:vAlign w:val="center"/>
          </w:tcPr>
          <w:p w14:paraId="76325392">
            <w:pPr>
              <w:numPr>
                <w:ilvl w:val="0"/>
                <w:numId w:val="2"/>
              </w:numPr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3GPP RAN4 cannot reply the LS on </w:t>
            </w:r>
            <w:r>
              <w:rPr>
                <w:bCs/>
                <w:lang w:eastAsia="ko-KR"/>
              </w:rPr>
              <w:t>co-existence transmitter spurious emission limits</w:t>
            </w:r>
            <w:r>
              <w:rPr>
                <w:rFonts w:hint="eastAsia" w:eastAsia="宋体"/>
                <w:lang w:val="en-US" w:eastAsia="zh-CN"/>
              </w:rPr>
              <w:t xml:space="preserve">  from ETSI/TFES </w:t>
            </w:r>
          </w:p>
          <w:p w14:paraId="39654053">
            <w:pPr>
              <w:numPr>
                <w:ilvl w:val="0"/>
                <w:numId w:val="2"/>
              </w:numPr>
              <w:spacing w:after="0"/>
              <w:ind w:left="0" w:leftChars="0" w:firstLine="0" w:firstLineChars="0"/>
            </w:pPr>
            <w:r>
              <w:rPr>
                <w:rFonts w:hint="eastAsia" w:eastAsia="宋体"/>
                <w:lang w:val="en-US" w:eastAsia="zh-CN"/>
              </w:rPr>
              <w:t>The requirement might be not appropriately defined in the RAN4 specification.</w:t>
            </w:r>
          </w:p>
        </w:tc>
      </w:tr>
    </w:tbl>
    <w:p w14:paraId="3C923531">
      <w:pPr>
        <w:tabs>
          <w:tab w:val="left" w:pos="2127"/>
          <w:tab w:val="left" w:pos="5387"/>
        </w:tabs>
        <w:rPr>
          <w:b/>
        </w:rPr>
      </w:pPr>
    </w:p>
    <w:p w14:paraId="4B5DD76C"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 w14:paraId="7D47C9F3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hint="eastAsia" w:ascii="Times New Roman" w:hAnsi="Times New Roman" w:cs="Times New Roman"/>
          <w:lang w:eastAsia="zh-CN"/>
        </w:rPr>
      </w:pPr>
      <w:r>
        <w:rPr>
          <w:rFonts w:hint="eastAsia" w:ascii="Times New Roman" w:hAnsi="Times New Roman" w:cs="Times New Roman"/>
          <w:lang w:eastAsia="zh-CN"/>
        </w:rPr>
        <w:t xml:space="preserve">This WI exception requests to extend the completion date of </w:t>
      </w:r>
      <w:r>
        <w:rPr>
          <w:rFonts w:hint="eastAsia" w:ascii="Times New Roman" w:hAnsi="Times New Roman" w:cs="Times New Roman"/>
          <w:lang w:val="en-GB" w:eastAsia="en-GB"/>
        </w:rPr>
        <w:t>NR base station (BS) RF requirement evolution for FR1/FR2 and testing</w:t>
      </w:r>
      <w:r>
        <w:rPr>
          <w:rFonts w:hint="eastAsia" w:ascii="Times New Roman" w:hAnsi="Times New Roman" w:cs="Times New Roman"/>
          <w:lang w:eastAsia="zh-CN"/>
        </w:rPr>
        <w:t xml:space="preserve"> WI to </w:t>
      </w:r>
      <w:r>
        <w:rPr>
          <w:rFonts w:hint="eastAsia" w:ascii="Times New Roman" w:hAnsi="Times New Roman" w:cs="Times New Roman"/>
          <w:lang w:val="en-US" w:eastAsia="zh-CN"/>
        </w:rPr>
        <w:t xml:space="preserve">Dec </w:t>
      </w:r>
      <w:r>
        <w:rPr>
          <w:rFonts w:hint="eastAsia" w:ascii="Times New Roman" w:hAnsi="Times New Roman" w:cs="Times New Roman"/>
          <w:lang w:eastAsia="zh-CN"/>
        </w:rPr>
        <w:t>202</w:t>
      </w:r>
      <w:r>
        <w:rPr>
          <w:rFonts w:hint="eastAsia" w:ascii="Times New Roman" w:hAnsi="Times New Roman" w:cs="Times New Roman"/>
          <w:lang w:val="en-US" w:eastAsia="zh-CN"/>
        </w:rPr>
        <w:t>5</w:t>
      </w:r>
      <w:r>
        <w:rPr>
          <w:rFonts w:hint="eastAsia" w:ascii="Times New Roman" w:hAnsi="Times New Roman" w:cs="Times New Roman"/>
          <w:lang w:eastAsia="zh-CN"/>
        </w:rPr>
        <w:t xml:space="preserve"> (core part).</w:t>
      </w:r>
    </w:p>
    <w:p w14:paraId="73102F40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hint="eastAsia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For the last core objective, RAN4 needs to e</w:t>
      </w:r>
      <w:r>
        <w:rPr>
          <w:rFonts w:hint="eastAsia" w:ascii="Times New Roman" w:hAnsi="Times New Roman" w:cs="Times New Roman"/>
          <w:lang w:eastAsia="ko-KR"/>
        </w:rPr>
        <w:t>valuate co-existence transmitter spurious emission limits according to the request from ETSI/TFE</w:t>
      </w:r>
      <w:r>
        <w:rPr>
          <w:rFonts w:hint="eastAsia" w:ascii="Times New Roman" w:hAnsi="Times New Roman" w:cs="Times New Roman"/>
          <w:lang w:val="en-US" w:eastAsia="zh-CN"/>
        </w:rPr>
        <w:t xml:space="preserve">S and improve the transmitter </w:t>
      </w:r>
      <w:r>
        <w:rPr>
          <w:rFonts w:hint="eastAsia" w:ascii="Times New Roman" w:hAnsi="Times New Roman" w:cs="Times New Roman"/>
          <w:lang w:eastAsia="ko-KR"/>
        </w:rPr>
        <w:t>co-existence spurious emission requirements if needed.</w:t>
      </w:r>
      <w:r>
        <w:rPr>
          <w:rFonts w:hint="eastAsia" w:ascii="Times New Roman" w:hAnsi="Times New Roman" w:cs="Times New Roman"/>
          <w:lang w:val="en-US" w:eastAsia="zh-CN"/>
        </w:rPr>
        <w:t xml:space="preserve"> The work f</w:t>
      </w:r>
      <w:r>
        <w:rPr>
          <w:rFonts w:hint="eastAsia" w:ascii="Times New Roman" w:hAnsi="Times New Roman" w:cs="Times New Roman"/>
          <w:lang w:eastAsia="zh-CN"/>
        </w:rPr>
        <w:t>ocus on bands in the upper region of FR1 with priority above 5.9 GHz.</w:t>
      </w:r>
    </w:p>
    <w:p w14:paraId="2ED76D68">
      <w:pPr>
        <w:spacing w:after="0"/>
        <w:rPr>
          <w:rFonts w:hint="default"/>
          <w:lang w:val="en-US" w:eastAsia="zh-CN"/>
        </w:rPr>
      </w:pPr>
    </w:p>
    <w:p w14:paraId="0B781D23">
      <w:pPr>
        <w:pBdr>
          <w:top w:val="single" w:color="auto" w:sz="4" w:space="1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 w14:paraId="0D1535DD">
      <w:pPr>
        <w:keepNext w:val="0"/>
        <w:keepLines w:val="0"/>
        <w:pageBreakBefore w:val="0"/>
        <w:widowControl/>
        <w:kinsoku/>
        <w:wordWrap/>
        <w:overflowPunct w:val="0"/>
        <w:topLinePunct w:val="0"/>
        <w:autoSpaceDE w:val="0"/>
        <w:autoSpaceDN w:val="0"/>
        <w:bidi w:val="0"/>
        <w:adjustRightInd w:val="0"/>
        <w:snapToGrid/>
        <w:spacing w:after="0"/>
        <w:textAlignment w:val="baseline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eastAsia="zh-CN"/>
        </w:rPr>
        <w:t xml:space="preserve">The </w:t>
      </w:r>
      <w:r>
        <w:rPr>
          <w:rFonts w:hint="eastAsia" w:ascii="Times New Roman" w:hAnsi="Times New Roman" w:cs="Times New Roman"/>
          <w:lang w:val="en-US" w:eastAsia="zh-CN"/>
        </w:rPr>
        <w:t>evaluation assumption for coexistence transmitter and simulation results among companies are not aligned.</w:t>
      </w:r>
    </w:p>
    <w:p w14:paraId="335494D8">
      <w:pPr>
        <w:rPr>
          <w:rFonts w:hint="default"/>
          <w:sz w:val="18"/>
          <w:szCs w:val="18"/>
          <w:lang w:val="en-US" w:eastAsia="zh-CN"/>
        </w:rPr>
      </w:pPr>
    </w:p>
    <w:sectPr>
      <w:pgSz w:w="11906" w:h="16838"/>
      <w:pgMar w:top="851" w:right="851" w:bottom="567" w:left="851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Yu Mincho">
    <w:altName w:val="Yu Gothic UI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4E5EB0"/>
    <w:multiLevelType w:val="singleLevel"/>
    <w:tmpl w:val="904E5EB0"/>
    <w:lvl w:ilvl="0" w:tentative="0">
      <w:start w:val="1"/>
      <w:numFmt w:val="decimal"/>
      <w:suff w:val="space"/>
      <w:lvlText w:val="%1)"/>
      <w:lvlJc w:val="left"/>
    </w:lvl>
  </w:abstractNum>
  <w:abstractNum w:abstractNumId="1">
    <w:nsid w:val="31E86FFC"/>
    <w:multiLevelType w:val="singleLevel"/>
    <w:tmpl w:val="31E86FFC"/>
    <w:lvl w:ilvl="0" w:tentative="0">
      <w:start w:val="1"/>
      <w:numFmt w:val="bullet"/>
      <w:lvlText w:val="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attachedTemplate r:id="rId1"/>
  <w:documentProtection w:enforcement="0"/>
  <w:defaultTabStop w:val="720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16C71F3"/>
    <w:rsid w:val="02182ED7"/>
    <w:rsid w:val="028440C8"/>
    <w:rsid w:val="06AE7704"/>
    <w:rsid w:val="07770ECE"/>
    <w:rsid w:val="0DB40989"/>
    <w:rsid w:val="0E850184"/>
    <w:rsid w:val="123C49C0"/>
    <w:rsid w:val="14270F49"/>
    <w:rsid w:val="1A277D03"/>
    <w:rsid w:val="1C0025BA"/>
    <w:rsid w:val="2366189C"/>
    <w:rsid w:val="250671CD"/>
    <w:rsid w:val="2BC058C2"/>
    <w:rsid w:val="2F8A6913"/>
    <w:rsid w:val="300B6BE0"/>
    <w:rsid w:val="31414A5E"/>
    <w:rsid w:val="314D409C"/>
    <w:rsid w:val="352B64A2"/>
    <w:rsid w:val="357F234A"/>
    <w:rsid w:val="389926E7"/>
    <w:rsid w:val="3B472AC2"/>
    <w:rsid w:val="3E222B81"/>
    <w:rsid w:val="40B51316"/>
    <w:rsid w:val="41A73354"/>
    <w:rsid w:val="44854976"/>
    <w:rsid w:val="46650149"/>
    <w:rsid w:val="4713167E"/>
    <w:rsid w:val="483742F8"/>
    <w:rsid w:val="4A7118E0"/>
    <w:rsid w:val="4E07250A"/>
    <w:rsid w:val="4E7013FE"/>
    <w:rsid w:val="55F52488"/>
    <w:rsid w:val="56C4796A"/>
    <w:rsid w:val="5BDD7C46"/>
    <w:rsid w:val="5C4F0418"/>
    <w:rsid w:val="5DCA41FA"/>
    <w:rsid w:val="63AF3D1A"/>
    <w:rsid w:val="68CB0E27"/>
    <w:rsid w:val="6CF33ACD"/>
    <w:rsid w:val="6FB90E41"/>
    <w:rsid w:val="6FC85C67"/>
    <w:rsid w:val="71E80C9B"/>
    <w:rsid w:val="72CA035F"/>
    <w:rsid w:val="73234271"/>
    <w:rsid w:val="73335F46"/>
    <w:rsid w:val="744E128A"/>
    <w:rsid w:val="748D3625"/>
    <w:rsid w:val="7A9B2D4F"/>
    <w:rsid w:val="7BDD31C6"/>
    <w:rsid w:val="7EB268B9"/>
    <w:rsid w:val="7FAC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6">
    <w:name w:val="Default Paragraph Font"/>
    <w:semiHidden/>
    <w:qFormat/>
    <w:uiPriority w:val="0"/>
  </w:style>
  <w:style w:type="table" w:default="1" w:styleId="4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Body Text"/>
    <w:basedOn w:val="1"/>
    <w:qFormat/>
    <w:uiPriority w:val="0"/>
    <w:pPr>
      <w:widowControl w:val="0"/>
    </w:pPr>
    <w:rPr>
      <w:i/>
      <w:lang w:val="en-US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ody Text Indent 2"/>
    <w:basedOn w:val="1"/>
    <w:qFormat/>
    <w:uiPriority w:val="0"/>
    <w:pPr>
      <w:ind w:left="284"/>
      <w:jc w:val="both"/>
    </w:pPr>
    <w:rPr>
      <w:rFonts w:ascii="Arial" w:hAnsi="Arial"/>
      <w:sz w:val="22"/>
    </w:rPr>
  </w:style>
  <w:style w:type="paragraph" w:styleId="33">
    <w:name w:val="endnote text"/>
    <w:basedOn w:val="1"/>
    <w:semiHidden/>
    <w:qFormat/>
    <w:uiPriority w:val="0"/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1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paragraph" w:styleId="43">
    <w:name w:val="annotation subject"/>
    <w:basedOn w:val="28"/>
    <w:next w:val="28"/>
    <w:semiHidden/>
    <w:qFormat/>
    <w:uiPriority w:val="0"/>
    <w:rPr>
      <w:b/>
      <w:bCs/>
    </w:rPr>
  </w:style>
  <w:style w:type="table" w:styleId="45">
    <w:name w:val="Table Grid"/>
    <w:basedOn w:val="4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7">
    <w:name w:val="endnote reference"/>
    <w:semiHidden/>
    <w:qFormat/>
    <w:uiPriority w:val="0"/>
    <w:rPr>
      <w:vertAlign w:val="superscript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  <w:szCs w:val="16"/>
    </w:rPr>
  </w:style>
  <w:style w:type="character" w:styleId="50">
    <w:name w:val="footnote reference"/>
    <w:basedOn w:val="46"/>
    <w:semiHidden/>
    <w:qFormat/>
    <w:uiPriority w:val="0"/>
    <w:rPr>
      <w:b/>
      <w:position w:val="6"/>
      <w:sz w:val="1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53">
    <w:name w:val="TAH"/>
    <w:basedOn w:val="54"/>
    <w:qFormat/>
    <w:uiPriority w:val="0"/>
    <w:rPr>
      <w:b/>
    </w:rPr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HE"/>
    <w:basedOn w:val="1"/>
    <w:qFormat/>
    <w:uiPriority w:val="0"/>
    <w:rPr>
      <w:rFonts w:ascii="Arial" w:hAnsi="Arial"/>
      <w:b/>
    </w:rPr>
  </w:style>
  <w:style w:type="paragraph" w:customStyle="1" w:styleId="56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58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59">
    <w:name w:val="TT"/>
    <w:basedOn w:val="2"/>
    <w:next w:val="1"/>
    <w:qFormat/>
    <w:uiPriority w:val="0"/>
    <w:pPr>
      <w:outlineLvl w:val="9"/>
    </w:pPr>
  </w:style>
  <w:style w:type="paragraph" w:customStyle="1" w:styleId="60">
    <w:name w:val="TF"/>
    <w:basedOn w:val="61"/>
    <w:qFormat/>
    <w:uiPriority w:val="0"/>
    <w:pPr>
      <w:keepNext w:val="0"/>
      <w:spacing w:before="0" w:after="240"/>
    </w:p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NO"/>
    <w:basedOn w:val="1"/>
    <w:qFormat/>
    <w:uiPriority w:val="0"/>
    <w:pPr>
      <w:keepLines/>
      <w:ind w:left="1135" w:hanging="851"/>
    </w:pPr>
  </w:style>
  <w:style w:type="paragraph" w:customStyle="1" w:styleId="63">
    <w:name w:val="EX"/>
    <w:basedOn w:val="1"/>
    <w:qFormat/>
    <w:uiPriority w:val="0"/>
    <w:pPr>
      <w:keepLines/>
      <w:ind w:left="1702" w:hanging="1418"/>
    </w:p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6">
    <w:name w:val="NW"/>
    <w:basedOn w:val="62"/>
    <w:qFormat/>
    <w:uiPriority w:val="0"/>
    <w:pPr>
      <w:spacing w:after="0"/>
    </w:pPr>
  </w:style>
  <w:style w:type="paragraph" w:customStyle="1" w:styleId="67">
    <w:name w:val="EW"/>
    <w:basedOn w:val="63"/>
    <w:qFormat/>
    <w:uiPriority w:val="0"/>
    <w:pPr>
      <w:spacing w:after="0"/>
    </w:pPr>
  </w:style>
  <w:style w:type="paragraph" w:customStyle="1" w:styleId="6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9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1">
    <w:name w:val="TAR"/>
    <w:basedOn w:val="51"/>
    <w:qFormat/>
    <w:uiPriority w:val="0"/>
    <w:pPr>
      <w:jc w:val="right"/>
    </w:pPr>
  </w:style>
  <w:style w:type="paragraph" w:customStyle="1" w:styleId="72">
    <w:name w:val="TAN"/>
    <w:basedOn w:val="51"/>
    <w:qFormat/>
    <w:uiPriority w:val="0"/>
    <w:pPr>
      <w:ind w:left="851" w:hanging="851"/>
    </w:pPr>
  </w:style>
  <w:style w:type="paragraph" w:customStyle="1" w:styleId="73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4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5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6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7">
    <w:name w:val="ZV"/>
    <w:basedOn w:val="76"/>
    <w:qFormat/>
    <w:uiPriority w:val="0"/>
    <w:pPr>
      <w:framePr w:y="16161"/>
    </w:pPr>
  </w:style>
  <w:style w:type="character" w:customStyle="1" w:styleId="78">
    <w:name w:val="ZGSM"/>
    <w:qFormat/>
    <w:uiPriority w:val="0"/>
  </w:style>
  <w:style w:type="paragraph" w:customStyle="1" w:styleId="79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0">
    <w:name w:val="Editor's Note"/>
    <w:basedOn w:val="62"/>
    <w:qFormat/>
    <w:uiPriority w:val="0"/>
    <w:rPr>
      <w:color w:val="FF0000"/>
    </w:rPr>
  </w:style>
  <w:style w:type="paragraph" w:customStyle="1" w:styleId="81">
    <w:name w:val="B1"/>
    <w:basedOn w:val="14"/>
    <w:qFormat/>
    <w:uiPriority w:val="0"/>
  </w:style>
  <w:style w:type="paragraph" w:customStyle="1" w:styleId="82">
    <w:name w:val="B2"/>
    <w:basedOn w:val="13"/>
    <w:qFormat/>
    <w:uiPriority w:val="0"/>
  </w:style>
  <w:style w:type="paragraph" w:customStyle="1" w:styleId="83">
    <w:name w:val="B3"/>
    <w:basedOn w:val="12"/>
    <w:qFormat/>
    <w:uiPriority w:val="0"/>
  </w:style>
  <w:style w:type="paragraph" w:customStyle="1" w:styleId="84">
    <w:name w:val="B4"/>
    <w:basedOn w:val="39"/>
    <w:qFormat/>
    <w:uiPriority w:val="0"/>
  </w:style>
  <w:style w:type="paragraph" w:customStyle="1" w:styleId="85">
    <w:name w:val="B5"/>
    <w:basedOn w:val="38"/>
    <w:qFormat/>
    <w:uiPriority w:val="0"/>
  </w:style>
  <w:style w:type="paragraph" w:customStyle="1" w:styleId="86">
    <w:name w:val="ZTD"/>
    <w:basedOn w:val="74"/>
    <w:qFormat/>
    <w:uiPriority w:val="0"/>
    <w:pPr>
      <w:framePr w:hRule="auto" w:y="852"/>
    </w:pPr>
    <w:rPr>
      <w:i w:val="0"/>
      <w:sz w:val="4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BT</Company>
  <Pages>1</Pages>
  <Words>253</Words>
  <Characters>1484</Characters>
  <Lines>3</Lines>
  <Paragraphs>1</Paragraphs>
  <TotalTime>7</TotalTime>
  <ScaleCrop>false</ScaleCrop>
  <LinksUpToDate>false</LinksUpToDate>
  <CharactersWithSpaces>1704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2023-03-21T08:42:00Z</dcterms:created>
  <dc:creator>Roger Tarazi</dc:creator>
  <cp:lastModifiedBy>ZTE, Fei Xue</cp:lastModifiedBy>
  <cp:lastPrinted>2009-10-12T14:10:00Z</cp:lastPrinted>
  <dcterms:modified xsi:type="dcterms:W3CDTF">2025-09-08T07:59:10Z</dcterms:modified>
  <dc:title>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2052-12.1.0.22529</vt:lpwstr>
  </property>
  <property fmtid="{D5CDD505-2E9C-101B-9397-08002B2CF9AE}" pid="4" name="ICV">
    <vt:lpwstr>23525AC74EFB4EA09ECB1AEEFC2D1321</vt:lpwstr>
  </property>
  <property fmtid="{D5CDD505-2E9C-101B-9397-08002B2CF9AE}" pid="5" name="KSOTemplateDocerSaveRecord">
    <vt:lpwstr>eyJoZGlkIjoiNTA2MDIzMjk0NzI5MmEzNWQ4YmNjZGZiMjgzNzc2MDMiLCJ1c2VySWQiOiIxMDQyMjkzMzc0In0=</vt:lpwstr>
  </property>
</Properties>
</file>